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9028A" w14:textId="77777777" w:rsidR="00E950E7" w:rsidRPr="009E08D4" w:rsidRDefault="00F347E4">
      <w:pPr>
        <w:spacing w:before="157" w:after="157" w:line="270" w:lineRule="auto"/>
        <w:rPr>
          <w:rFonts w:ascii="Century Schoolbook" w:hAnsi="Century Schoolbook"/>
          <w:sz w:val="36"/>
          <w:szCs w:val="36"/>
        </w:rPr>
      </w:pPr>
      <w:bookmarkStart w:id="0" w:name="statement_of_mayor_frank_w_peranteau_sr"/>
      <w:r w:rsidRPr="009E08D4">
        <w:rPr>
          <w:rFonts w:ascii="Century Schoolbook" w:eastAsia="Georgia" w:hAnsi="Century Schoolbook" w:cs="Georgia"/>
          <w:b/>
          <w:color w:val="000000"/>
          <w:sz w:val="36"/>
          <w:szCs w:val="36"/>
        </w:rPr>
        <w:t>Statement of Mayor Frank W. Peranteau, Sr.</w:t>
      </w:r>
      <w:bookmarkEnd w:id="0"/>
    </w:p>
    <w:p w14:paraId="3279028B" w14:textId="77777777" w:rsidR="00E950E7" w:rsidRPr="009E08D4" w:rsidRDefault="00F347E4">
      <w:pPr>
        <w:spacing w:before="315" w:after="105" w:line="360" w:lineRule="auto"/>
        <w:ind w:left="-30"/>
        <w:rPr>
          <w:rFonts w:ascii="Century Schoolbook" w:hAnsi="Century Schoolbook"/>
          <w:sz w:val="36"/>
          <w:szCs w:val="36"/>
        </w:rPr>
      </w:pPr>
      <w:bookmarkStart w:id="1" w:name="bristol_borough_council_may_2026"/>
      <w:r w:rsidRPr="009E08D4">
        <w:rPr>
          <w:rFonts w:ascii="Century Schoolbook" w:eastAsia="Georgia" w:hAnsi="Century Schoolbook" w:cs="Georgia"/>
          <w:b/>
          <w:color w:val="000000"/>
          <w:sz w:val="36"/>
          <w:szCs w:val="36"/>
        </w:rPr>
        <w:t>Bristol Borough Council — May 2026</w:t>
      </w:r>
      <w:bookmarkEnd w:id="1"/>
    </w:p>
    <w:p w14:paraId="3279028D" w14:textId="5951EF61" w:rsidR="00E950E7" w:rsidRDefault="00F347E4" w:rsidP="009E08D4">
      <w:pPr>
        <w:pBdr>
          <w:bottom w:val="single" w:sz="12" w:space="1" w:color="auto"/>
        </w:pBdr>
        <w:spacing w:before="315" w:after="105" w:line="360" w:lineRule="auto"/>
        <w:ind w:left="-30"/>
        <w:rPr>
          <w:rFonts w:ascii="Century Schoolbook" w:eastAsia="Georgia" w:hAnsi="Century Schoolbook" w:cs="Georgia"/>
          <w:b/>
          <w:color w:val="000000"/>
          <w:sz w:val="36"/>
          <w:szCs w:val="36"/>
        </w:rPr>
      </w:pPr>
      <w:bookmarkStart w:id="2" w:name="re_the_webb_investigation_the_leg_848348"/>
      <w:r w:rsidRPr="009E08D4">
        <w:rPr>
          <w:rFonts w:ascii="Century Schoolbook" w:eastAsia="Georgia" w:hAnsi="Century Schoolbook" w:cs="Georgia"/>
          <w:b/>
          <w:color w:val="000000"/>
          <w:sz w:val="36"/>
          <w:szCs w:val="36"/>
        </w:rPr>
        <w:t>Re: The Webb Investigation — The Legal and Financial Risks of Proceeding</w:t>
      </w:r>
      <w:bookmarkEnd w:id="2"/>
    </w:p>
    <w:p w14:paraId="3279028E" w14:textId="77777777" w:rsidR="00E950E7" w:rsidRPr="009E08D4" w:rsidRDefault="00F347E4">
      <w:pPr>
        <w:spacing w:after="210"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t>To the Members of Borough Council:</w:t>
      </w:r>
    </w:p>
    <w:p w14:paraId="3279028F" w14:textId="77777777" w:rsidR="00E950E7" w:rsidRPr="009E08D4" w:rsidRDefault="00F347E4">
      <w:pPr>
        <w:spacing w:after="210"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I am asking Council tonight to table this investigation — not to protect anyone from scrutiny, but to protect this Borough from the serious and costly legal exposure that is building with every step Council takes in the wrong direction. Bristol Borough is already in a legally precarious position. If this investigation continues on its current course, the taxpayers of this community will pay for it — in litigation costs, in damages, and in attorney's fees that could have been entirely avoided.</w:t>
      </w:r>
    </w:p>
    <w:p w14:paraId="32790291" w14:textId="47CBF32D" w:rsidR="00E950E7" w:rsidRPr="009E08D4" w:rsidRDefault="00F347E4" w:rsidP="009E08D4">
      <w:pPr>
        <w:spacing w:after="210"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Let me be direct about why.</w:t>
      </w:r>
    </w:p>
    <w:p w14:paraId="32790292" w14:textId="77777777" w:rsidR="00E950E7" w:rsidRPr="009E08D4" w:rsidRDefault="00F347E4">
      <w:pPr>
        <w:spacing w:before="315" w:after="105" w:line="360" w:lineRule="auto"/>
        <w:ind w:left="-30"/>
        <w:rPr>
          <w:rFonts w:ascii="Century Schoolbook" w:hAnsi="Century Schoolbook"/>
          <w:sz w:val="28"/>
          <w:szCs w:val="28"/>
        </w:rPr>
      </w:pPr>
      <w:bookmarkStart w:id="3" w:name="i_officer_webb_is_a_documented_wh_e51e63"/>
      <w:r w:rsidRPr="009E08D4">
        <w:rPr>
          <w:rFonts w:ascii="Century Schoolbook" w:eastAsia="Georgia" w:hAnsi="Century Schoolbook" w:cs="Georgia"/>
          <w:b/>
          <w:color w:val="000000"/>
          <w:sz w:val="28"/>
          <w:szCs w:val="28"/>
        </w:rPr>
        <w:t>I. Officer Webb Is a Documented Whistleblower — and That Changes Everything</w:t>
      </w:r>
      <w:bookmarkEnd w:id="3"/>
    </w:p>
    <w:p w14:paraId="32790293" w14:textId="77777777" w:rsidR="00E950E7" w:rsidRPr="009E08D4" w:rsidRDefault="00F347E4">
      <w:pPr>
        <w:spacing w:after="210"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Officer Ritchie Webb is not simply a problem employee. He is an officer who, on the record and in writing, has reported:</w:t>
      </w:r>
    </w:p>
    <w:p w14:paraId="32790294" w14:textId="77777777" w:rsidR="00E950E7" w:rsidRPr="009E08D4" w:rsidRDefault="00F347E4">
      <w:pPr>
        <w:numPr>
          <w:ilvl w:val="0"/>
          <w:numId w:val="1"/>
        </w:numPr>
        <w:spacing w:before="105" w:after="105"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t>Workers' compensation fraud by the Chief of Police</w:t>
      </w:r>
    </w:p>
    <w:p w14:paraId="32790295" w14:textId="77777777" w:rsidR="00E950E7" w:rsidRPr="009E08D4" w:rsidRDefault="00F347E4">
      <w:pPr>
        <w:numPr>
          <w:ilvl w:val="0"/>
          <w:numId w:val="1"/>
        </w:numPr>
        <w:spacing w:before="105" w:after="105"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t>Sexual assault allegations against the Chief</w:t>
      </w:r>
    </w:p>
    <w:p w14:paraId="32790296" w14:textId="77777777" w:rsidR="00E950E7" w:rsidRPr="009E08D4" w:rsidRDefault="00F347E4">
      <w:pPr>
        <w:numPr>
          <w:ilvl w:val="0"/>
          <w:numId w:val="1"/>
        </w:numPr>
        <w:spacing w:before="105" w:after="105"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lastRenderedPageBreak/>
        <w:t>Coercion of Borough residents to vote for a specific mayoral candidate — with criminal charges allegedly used as leverage</w:t>
      </w:r>
    </w:p>
    <w:p w14:paraId="32790297" w14:textId="77777777" w:rsidR="00E950E7" w:rsidRPr="009E08D4" w:rsidRDefault="00F347E4">
      <w:pPr>
        <w:numPr>
          <w:ilvl w:val="0"/>
          <w:numId w:val="1"/>
        </w:numPr>
        <w:spacing w:before="105" w:after="105"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t>Evidence manipulation within the department</w:t>
      </w:r>
    </w:p>
    <w:p w14:paraId="32790298" w14:textId="77777777" w:rsidR="00E950E7" w:rsidRPr="009E08D4" w:rsidRDefault="00F347E4">
      <w:pPr>
        <w:spacing w:after="210"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These are serious, documented allegations. Officer Webb made them formally, in writing, and placed the Borough on legal notice. He has also made clear, in his own words, that he has "successfully sued this Borough before" and is "fully prepared to go down it again."</w:t>
      </w:r>
    </w:p>
    <w:p w14:paraId="3279029A" w14:textId="3FEEC467" w:rsidR="00E950E7" w:rsidRPr="009E08D4" w:rsidRDefault="00F347E4" w:rsidP="009E08D4">
      <w:pPr>
        <w:spacing w:after="210"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 xml:space="preserve">Under Pennsylvania law and federal law, an officer who reports misconduct in good faith is entitled to robust legal protections against retaliation. When the Borough's response to those reports is to open a disciplinary investigation </w:t>
      </w:r>
      <w:r w:rsidRPr="009E08D4">
        <w:rPr>
          <w:rFonts w:ascii="Century Schoolbook" w:eastAsia="Georgia" w:hAnsi="Century Schoolbook" w:cs="Georgia"/>
          <w:b/>
          <w:color w:val="000000"/>
          <w:sz w:val="28"/>
          <w:szCs w:val="28"/>
        </w:rPr>
        <w:t>targeting the reporting officer</w:t>
      </w:r>
      <w:r w:rsidRPr="009E08D4">
        <w:rPr>
          <w:rFonts w:ascii="Century Schoolbook" w:eastAsia="Georgia" w:hAnsi="Century Schoolbook" w:cs="Georgia"/>
          <w:color w:val="000000"/>
          <w:sz w:val="28"/>
          <w:szCs w:val="28"/>
        </w:rPr>
        <w:t xml:space="preserve"> — while the very officials he accused remain in their positions and involved in managing his case — that is a fact pattern that a plaintiff's attorney will present to a jury with devastating effect.</w:t>
      </w:r>
    </w:p>
    <w:p w14:paraId="3279029B" w14:textId="77777777" w:rsidR="00E950E7" w:rsidRPr="009E08D4" w:rsidRDefault="00F347E4">
      <w:pPr>
        <w:spacing w:before="315" w:after="105" w:line="360" w:lineRule="auto"/>
        <w:ind w:left="-30"/>
        <w:rPr>
          <w:rFonts w:ascii="Century Schoolbook" w:hAnsi="Century Schoolbook"/>
          <w:sz w:val="28"/>
          <w:szCs w:val="28"/>
        </w:rPr>
      </w:pPr>
      <w:bookmarkStart w:id="4" w:name="ii_the_investigation_s_structure_56cc90"/>
      <w:r w:rsidRPr="009E08D4">
        <w:rPr>
          <w:rFonts w:ascii="Century Schoolbook" w:eastAsia="Georgia" w:hAnsi="Century Schoolbook" w:cs="Georgia"/>
          <w:b/>
          <w:color w:val="000000"/>
          <w:sz w:val="28"/>
          <w:szCs w:val="28"/>
        </w:rPr>
        <w:t>II. The Investigation's Structure Is a Retaliation Lawsuit Waiting to Happen</w:t>
      </w:r>
      <w:bookmarkEnd w:id="4"/>
    </w:p>
    <w:p w14:paraId="3279029C" w14:textId="77777777" w:rsidR="00E950E7" w:rsidRPr="009E08D4" w:rsidRDefault="00F347E4">
      <w:pPr>
        <w:spacing w:after="210"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Officer Webb has been off active duty since April 3, 2025 — over 397 days as of his most recent correspondence to the Mayor. He was medically cleared to return to work on January 27, 2026, by his treating physician. Since that clearance, the Borough has:</w:t>
      </w:r>
    </w:p>
    <w:p w14:paraId="3279029D" w14:textId="77777777" w:rsidR="00E950E7" w:rsidRPr="009E08D4" w:rsidRDefault="00F347E4">
      <w:pPr>
        <w:numPr>
          <w:ilvl w:val="0"/>
          <w:numId w:val="2"/>
        </w:numPr>
        <w:spacing w:before="105" w:after="105"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 xml:space="preserve">Failed to timely schedule an Independent Medical Examination it </w:t>
      </w:r>
      <w:proofErr w:type="gramStart"/>
      <w:r w:rsidRPr="009E08D4">
        <w:rPr>
          <w:rFonts w:ascii="Century Schoolbook" w:eastAsia="Georgia" w:hAnsi="Century Schoolbook" w:cs="Georgia"/>
          <w:color w:val="000000"/>
          <w:sz w:val="28"/>
          <w:szCs w:val="28"/>
        </w:rPr>
        <w:t>controls;</w:t>
      </w:r>
      <w:proofErr w:type="gramEnd"/>
    </w:p>
    <w:p w14:paraId="3279029E" w14:textId="77777777" w:rsidR="00E950E7" w:rsidRPr="009E08D4" w:rsidRDefault="00F347E4">
      <w:pPr>
        <w:numPr>
          <w:ilvl w:val="0"/>
          <w:numId w:val="2"/>
        </w:numPr>
        <w:spacing w:before="105" w:after="105"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 xml:space="preserve">Seized his service </w:t>
      </w:r>
      <w:proofErr w:type="gramStart"/>
      <w:r w:rsidRPr="009E08D4">
        <w:rPr>
          <w:rFonts w:ascii="Century Schoolbook" w:eastAsia="Georgia" w:hAnsi="Century Schoolbook" w:cs="Georgia"/>
          <w:color w:val="000000"/>
          <w:sz w:val="28"/>
          <w:szCs w:val="28"/>
        </w:rPr>
        <w:t>weapon;</w:t>
      </w:r>
      <w:proofErr w:type="gramEnd"/>
    </w:p>
    <w:p w14:paraId="3279029F" w14:textId="77777777" w:rsidR="00E950E7" w:rsidRPr="009E08D4" w:rsidRDefault="00F347E4">
      <w:pPr>
        <w:numPr>
          <w:ilvl w:val="0"/>
          <w:numId w:val="2"/>
        </w:numPr>
        <w:spacing w:before="105" w:after="105"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lastRenderedPageBreak/>
        <w:t xml:space="preserve">Scheduled and rescheduled fitness-for-duty exams without coordination or </w:t>
      </w:r>
      <w:proofErr w:type="gramStart"/>
      <w:r w:rsidRPr="009E08D4">
        <w:rPr>
          <w:rFonts w:ascii="Century Schoolbook" w:eastAsia="Georgia" w:hAnsi="Century Schoolbook" w:cs="Georgia"/>
          <w:color w:val="000000"/>
          <w:sz w:val="28"/>
          <w:szCs w:val="28"/>
        </w:rPr>
        <w:t>transparency;</w:t>
      </w:r>
      <w:proofErr w:type="gramEnd"/>
    </w:p>
    <w:p w14:paraId="327902A0" w14:textId="77777777" w:rsidR="00E950E7" w:rsidRPr="009E08D4" w:rsidRDefault="00F347E4">
      <w:pPr>
        <w:numPr>
          <w:ilvl w:val="0"/>
          <w:numId w:val="2"/>
        </w:numPr>
        <w:spacing w:before="105" w:after="105"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 xml:space="preserve">Opened a disciplinary investigation into Webb </w:t>
      </w:r>
      <w:r w:rsidRPr="009E08D4">
        <w:rPr>
          <w:rFonts w:ascii="Century Schoolbook" w:eastAsia="Georgia" w:hAnsi="Century Schoolbook" w:cs="Georgia"/>
          <w:b/>
          <w:color w:val="000000"/>
          <w:sz w:val="28"/>
          <w:szCs w:val="28"/>
        </w:rPr>
        <w:t>on the same day</w:t>
      </w:r>
      <w:r w:rsidRPr="009E08D4">
        <w:rPr>
          <w:rFonts w:ascii="Century Schoolbook" w:eastAsia="Georgia" w:hAnsi="Century Schoolbook" w:cs="Georgia"/>
          <w:color w:val="000000"/>
          <w:sz w:val="28"/>
          <w:szCs w:val="28"/>
        </w:rPr>
        <w:t xml:space="preserve"> it acknowledged his whistleblower complaint; and</w:t>
      </w:r>
    </w:p>
    <w:p w14:paraId="327902A1" w14:textId="77777777" w:rsidR="00E950E7" w:rsidRPr="009E08D4" w:rsidRDefault="00F347E4">
      <w:pPr>
        <w:numPr>
          <w:ilvl w:val="0"/>
          <w:numId w:val="2"/>
        </w:numPr>
        <w:spacing w:before="105" w:after="105"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Assigned that investigation to outside counsel operating at the direction of the very department leadership Webb accused of misconduct.</w:t>
      </w:r>
    </w:p>
    <w:p w14:paraId="327902A2" w14:textId="77777777" w:rsidR="00E950E7" w:rsidRPr="009E08D4" w:rsidRDefault="00F347E4">
      <w:pPr>
        <w:spacing w:after="210"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Every one of these actions — standing alone — creates a litigation risk. Together, they create a timeline that tells a story: an officer reported serious misconduct; the Borough's response was to build a case for his termination. No jury instruction is needed to understand what that looks like.</w:t>
      </w:r>
    </w:p>
    <w:p w14:paraId="327902A3" w14:textId="77777777" w:rsidR="00E950E7" w:rsidRPr="009E08D4" w:rsidRDefault="00F347E4">
      <w:pPr>
        <w:spacing w:after="210"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 xml:space="preserve">Under the </w:t>
      </w:r>
      <w:r w:rsidRPr="009E08D4">
        <w:rPr>
          <w:rFonts w:ascii="Century Schoolbook" w:eastAsia="Georgia" w:hAnsi="Century Schoolbook" w:cs="Georgia"/>
          <w:b/>
          <w:color w:val="000000"/>
          <w:sz w:val="28"/>
          <w:szCs w:val="28"/>
        </w:rPr>
        <w:t>Pennsylvania Human Relations Act (PHRA)</w:t>
      </w:r>
      <w:r w:rsidRPr="009E08D4">
        <w:rPr>
          <w:rFonts w:ascii="Century Schoolbook" w:eastAsia="Georgia" w:hAnsi="Century Schoolbook" w:cs="Georgia"/>
          <w:color w:val="000000"/>
          <w:sz w:val="28"/>
          <w:szCs w:val="28"/>
        </w:rPr>
        <w:t xml:space="preserve">, the </w:t>
      </w:r>
      <w:r w:rsidRPr="009E08D4">
        <w:rPr>
          <w:rFonts w:ascii="Century Schoolbook" w:eastAsia="Georgia" w:hAnsi="Century Schoolbook" w:cs="Georgia"/>
          <w:b/>
          <w:color w:val="000000"/>
          <w:sz w:val="28"/>
          <w:szCs w:val="28"/>
        </w:rPr>
        <w:t>Americans with Disabilities Act (ADA)</w:t>
      </w:r>
      <w:r w:rsidRPr="009E08D4">
        <w:rPr>
          <w:rFonts w:ascii="Century Schoolbook" w:eastAsia="Georgia" w:hAnsi="Century Schoolbook" w:cs="Georgia"/>
          <w:color w:val="000000"/>
          <w:sz w:val="28"/>
          <w:szCs w:val="28"/>
        </w:rPr>
        <w:t xml:space="preserve">, and </w:t>
      </w:r>
      <w:r w:rsidRPr="009E08D4">
        <w:rPr>
          <w:rFonts w:ascii="Century Schoolbook" w:eastAsia="Georgia" w:hAnsi="Century Schoolbook" w:cs="Georgia"/>
          <w:b/>
          <w:color w:val="000000"/>
          <w:sz w:val="28"/>
          <w:szCs w:val="28"/>
        </w:rPr>
        <w:t>42 U.S.C. § 1983</w:t>
      </w:r>
      <w:r w:rsidRPr="009E08D4">
        <w:rPr>
          <w:rFonts w:ascii="Century Schoolbook" w:eastAsia="Georgia" w:hAnsi="Century Schoolbook" w:cs="Georgia"/>
          <w:color w:val="000000"/>
          <w:sz w:val="28"/>
          <w:szCs w:val="28"/>
        </w:rPr>
        <w:t>, Officer Webb has colorable claims for retaliation, disability discrimination, and deprivation of due process. His own correspondence explicitly raised ADA exposure, noting that he suffers from documented PTSD arising from traumatic on-duty incidents — including the deaths of three Bristol Borough residents — and that the Borough is advancing toward termination while his medical status remains unresolved</w:t>
      </w:r>
      <w:r w:rsidRPr="009E08D4">
        <w:rPr>
          <w:rFonts w:ascii="Century Schoolbook" w:eastAsia="Georgia" w:hAnsi="Century Schoolbook" w:cs="Georgia"/>
          <w:color w:val="000000"/>
          <w:sz w:val="28"/>
          <w:szCs w:val="28"/>
        </w:rPr>
        <w:t xml:space="preserve"> by the Borough's own inaction. That is not a speculative legal theory. That is a textbook ADA retaliation and failure-to-accommodate case.</w:t>
      </w:r>
    </w:p>
    <w:p w14:paraId="327902A5" w14:textId="6D898C6A" w:rsidR="00E950E7" w:rsidRPr="009E08D4" w:rsidRDefault="00F347E4" w:rsidP="009E08D4">
      <w:pPr>
        <w:spacing w:after="210" w:line="360" w:lineRule="auto"/>
        <w:ind w:left="630"/>
        <w:rPr>
          <w:rFonts w:ascii="Century Schoolbook" w:hAnsi="Century Schoolbook"/>
          <w:sz w:val="28"/>
          <w:szCs w:val="28"/>
        </w:rPr>
      </w:pPr>
      <w:r w:rsidRPr="009E08D4">
        <w:rPr>
          <w:rFonts w:ascii="Century Schoolbook" w:eastAsia="Georgia" w:hAnsi="Century Schoolbook" w:cs="Georgia"/>
          <w:b/>
          <w:color w:val="000000"/>
          <w:sz w:val="28"/>
          <w:szCs w:val="28"/>
        </w:rPr>
        <w:t>[NEEDS CONFIRMATION</w:t>
      </w:r>
      <w:r w:rsidR="009E08D4">
        <w:rPr>
          <w:rFonts w:ascii="Century Schoolbook" w:eastAsia="Georgia" w:hAnsi="Century Schoolbook" w:cs="Georgia"/>
          <w:b/>
          <w:color w:val="000000"/>
          <w:sz w:val="28"/>
          <w:szCs w:val="28"/>
        </w:rPr>
        <w:t xml:space="preserve"> FROM CLIENT</w:t>
      </w:r>
      <w:r w:rsidRPr="009E08D4">
        <w:rPr>
          <w:rFonts w:ascii="Century Schoolbook" w:eastAsia="Georgia" w:hAnsi="Century Schoolbook" w:cs="Georgia"/>
          <w:b/>
          <w:color w:val="000000"/>
          <w:sz w:val="28"/>
          <w:szCs w:val="28"/>
        </w:rPr>
        <w:t>]:</w:t>
      </w:r>
      <w:r w:rsidRPr="009E08D4">
        <w:rPr>
          <w:rFonts w:ascii="Century Schoolbook" w:eastAsia="Georgia" w:hAnsi="Century Schoolbook" w:cs="Georgia"/>
          <w:color w:val="000000"/>
          <w:sz w:val="28"/>
          <w:szCs w:val="28"/>
        </w:rPr>
        <w:t xml:space="preserve"> Confirm with Mayor whether the IME has been rescheduled and whether Officer </w:t>
      </w:r>
      <w:r w:rsidRPr="009E08D4">
        <w:rPr>
          <w:rFonts w:ascii="Century Schoolbook" w:eastAsia="Georgia" w:hAnsi="Century Schoolbook" w:cs="Georgia"/>
          <w:color w:val="000000"/>
          <w:sz w:val="28"/>
          <w:szCs w:val="28"/>
        </w:rPr>
        <w:lastRenderedPageBreak/>
        <w:t>Webb has attended or refused; this affects the strength of the "Borough inaction" narrative and should be accurately reflected before this statement is delivered publicly.</w:t>
      </w:r>
    </w:p>
    <w:p w14:paraId="327902A6" w14:textId="77777777" w:rsidR="00E950E7" w:rsidRPr="009E08D4" w:rsidRDefault="00F347E4">
      <w:pPr>
        <w:spacing w:before="315" w:after="105" w:line="360" w:lineRule="auto"/>
        <w:ind w:left="-30"/>
        <w:rPr>
          <w:rFonts w:ascii="Century Schoolbook" w:hAnsi="Century Schoolbook"/>
          <w:sz w:val="28"/>
          <w:szCs w:val="28"/>
        </w:rPr>
      </w:pPr>
      <w:bookmarkStart w:id="5" w:name="iii_the_structural_conflict_in_th_e0eced"/>
      <w:r w:rsidRPr="009E08D4">
        <w:rPr>
          <w:rFonts w:ascii="Century Schoolbook" w:eastAsia="Georgia" w:hAnsi="Century Schoolbook" w:cs="Georgia"/>
          <w:b/>
          <w:color w:val="000000"/>
          <w:sz w:val="28"/>
          <w:szCs w:val="28"/>
        </w:rPr>
        <w:t>III. The Structural Conflict in the Investigation Violates Basic Due Process</w:t>
      </w:r>
      <w:bookmarkEnd w:id="5"/>
    </w:p>
    <w:p w14:paraId="327902A7" w14:textId="50DCA708" w:rsidR="00E950E7" w:rsidRPr="009E08D4" w:rsidRDefault="00F347E4">
      <w:pPr>
        <w:spacing w:after="210"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 xml:space="preserve">The investigation was assigned to outside labor counsel, Campbell Durrant, whose client is Borough Council and whose relationship with Chief Moors — the primary subject of Officer Webb's complaints — creates a structural bias that courts have consistently found intolerable. Pennsylvania law is clear: where the prosecutorial and adjudicatory functions in a disciplinary proceeding are not meaningfully separated, the resulting process is constitutionally infirm. </w:t>
      </w:r>
    </w:p>
    <w:p w14:paraId="327902A8" w14:textId="77777777" w:rsidR="00E950E7" w:rsidRPr="009E08D4" w:rsidRDefault="00F347E4">
      <w:pPr>
        <w:spacing w:after="210"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 xml:space="preserve">Here, the same outside counsel was simultaneously tasked with investigating Webb's complaints </w:t>
      </w:r>
      <w:r w:rsidRPr="009E08D4">
        <w:rPr>
          <w:rFonts w:ascii="Century Schoolbook" w:eastAsia="Georgia" w:hAnsi="Century Schoolbook" w:cs="Georgia"/>
          <w:i/>
          <w:color w:val="000000"/>
          <w:sz w:val="28"/>
          <w:szCs w:val="28"/>
        </w:rPr>
        <w:t>against</w:t>
      </w:r>
      <w:r w:rsidRPr="009E08D4">
        <w:rPr>
          <w:rFonts w:ascii="Century Schoolbook" w:eastAsia="Georgia" w:hAnsi="Century Schoolbook" w:cs="Georgia"/>
          <w:color w:val="000000"/>
          <w:sz w:val="28"/>
          <w:szCs w:val="28"/>
        </w:rPr>
        <w:t xml:space="preserve"> the Chief and building a disciplinary case </w:t>
      </w:r>
      <w:r w:rsidRPr="009E08D4">
        <w:rPr>
          <w:rFonts w:ascii="Century Schoolbook" w:eastAsia="Georgia" w:hAnsi="Century Schoolbook" w:cs="Georgia"/>
          <w:i/>
          <w:color w:val="000000"/>
          <w:sz w:val="28"/>
          <w:szCs w:val="28"/>
        </w:rPr>
        <w:t>against</w:t>
      </w:r>
      <w:r w:rsidRPr="009E08D4">
        <w:rPr>
          <w:rFonts w:ascii="Century Schoolbook" w:eastAsia="Georgia" w:hAnsi="Century Schoolbook" w:cs="Georgia"/>
          <w:color w:val="000000"/>
          <w:sz w:val="28"/>
          <w:szCs w:val="28"/>
        </w:rPr>
        <w:t xml:space="preserve"> Webb — effectively serving both the prosecutorial and investigative roles while their client remained the very body Webb accused. That is not an investigation. It is a process designed to fail legal scrutiny, and when it does, the Borough will bear the consequences.</w:t>
      </w:r>
    </w:p>
    <w:p w14:paraId="327902A9" w14:textId="77777777" w:rsidR="00E950E7" w:rsidRPr="009E08D4" w:rsidRDefault="00F347E4">
      <w:pPr>
        <w:spacing w:after="210" w:line="360" w:lineRule="auto"/>
        <w:ind w:left="630"/>
        <w:rPr>
          <w:rFonts w:ascii="Century Schoolbook" w:hAnsi="Century Schoolbook"/>
          <w:sz w:val="28"/>
          <w:szCs w:val="28"/>
        </w:rPr>
      </w:pPr>
      <w:r w:rsidRPr="009E08D4">
        <w:rPr>
          <w:rFonts w:ascii="Century Schoolbook" w:eastAsia="Georgia" w:hAnsi="Century Schoolbook" w:cs="Georgia"/>
          <w:b/>
          <w:color w:val="000000"/>
          <w:sz w:val="28"/>
          <w:szCs w:val="28"/>
          <w:highlight w:val="yellow"/>
        </w:rPr>
        <w:t>[LEGAL RESEARCH NEEDED]:</w:t>
      </w:r>
      <w:r w:rsidRPr="009E08D4">
        <w:rPr>
          <w:rFonts w:ascii="Century Schoolbook" w:eastAsia="Georgia" w:hAnsi="Century Schoolbook" w:cs="Georgia"/>
          <w:color w:val="000000"/>
          <w:sz w:val="28"/>
          <w:szCs w:val="28"/>
          <w:highlight w:val="yellow"/>
        </w:rPr>
        <w:t xml:space="preserve"> Confirm current application of </w:t>
      </w:r>
      <w:r w:rsidRPr="009E08D4">
        <w:rPr>
          <w:rFonts w:ascii="Century Schoolbook" w:eastAsia="Georgia" w:hAnsi="Century Schoolbook" w:cs="Georgia"/>
          <w:i/>
          <w:color w:val="000000"/>
          <w:sz w:val="28"/>
          <w:szCs w:val="28"/>
          <w:highlight w:val="yellow"/>
        </w:rPr>
        <w:t>Lyness</w:t>
      </w:r>
      <w:r w:rsidRPr="009E08D4">
        <w:rPr>
          <w:rFonts w:ascii="Century Schoolbook" w:eastAsia="Georgia" w:hAnsi="Century Schoolbook" w:cs="Georgia"/>
          <w:color w:val="000000"/>
          <w:sz w:val="28"/>
          <w:szCs w:val="28"/>
          <w:highlight w:val="yellow"/>
        </w:rPr>
        <w:t xml:space="preserve"> to municipal internal affairs proceedings in the Third Circuit and Pennsylvania Commonwealth Court. Assess whether the </w:t>
      </w:r>
      <w:r w:rsidRPr="009E08D4">
        <w:rPr>
          <w:rFonts w:ascii="Century Schoolbook" w:eastAsia="Georgia" w:hAnsi="Century Schoolbook" w:cs="Georgia"/>
          <w:i/>
          <w:color w:val="000000"/>
          <w:sz w:val="28"/>
          <w:szCs w:val="28"/>
          <w:highlight w:val="yellow"/>
        </w:rPr>
        <w:t>Lyness</w:t>
      </w:r>
      <w:r w:rsidRPr="009E08D4">
        <w:rPr>
          <w:rFonts w:ascii="Century Schoolbook" w:eastAsia="Georgia" w:hAnsi="Century Schoolbook" w:cs="Georgia"/>
          <w:color w:val="000000"/>
          <w:sz w:val="28"/>
          <w:szCs w:val="28"/>
          <w:highlight w:val="yellow"/>
        </w:rPr>
        <w:t xml:space="preserve"> structural bias argument has been applied specifically to borough labor counsel arrangements similar to the one here.</w:t>
      </w:r>
    </w:p>
    <w:p w14:paraId="327902AA" w14:textId="77777777" w:rsidR="00E950E7" w:rsidRPr="009E08D4" w:rsidRDefault="00F347E4">
      <w:pPr>
        <w:spacing w:before="210" w:after="0" w:line="360" w:lineRule="auto"/>
        <w:rPr>
          <w:rFonts w:ascii="Century Schoolbook" w:hAnsi="Century Schoolbook"/>
          <w:sz w:val="28"/>
          <w:szCs w:val="28"/>
        </w:rPr>
      </w:pPr>
      <w:r w:rsidRPr="009E08D4">
        <w:rPr>
          <w:rFonts w:ascii="Century Schoolbook" w:hAnsi="Century Schoolbook"/>
          <w:noProof/>
          <w:sz w:val="28"/>
          <w:szCs w:val="28"/>
        </w:rPr>
      </w:r>
      <w:r w:rsidRPr="009E08D4">
        <w:rPr>
          <w:rFonts w:ascii="Century Schoolbook" w:hAnsi="Century Schoolbook"/>
          <w:noProof/>
          <w:sz w:val="28"/>
          <w:szCs w:val="28"/>
        </w:rPr>
        <w:pict w14:anchorId="327902D2">
          <v:rect id="_x0000_s1030"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327902AB" w14:textId="77777777" w:rsidR="00E950E7" w:rsidRPr="009E08D4" w:rsidRDefault="00F347E4">
      <w:pPr>
        <w:spacing w:before="315" w:after="105" w:line="360" w:lineRule="auto"/>
        <w:ind w:left="-30"/>
        <w:rPr>
          <w:rFonts w:ascii="Century Schoolbook" w:hAnsi="Century Schoolbook"/>
          <w:sz w:val="28"/>
          <w:szCs w:val="28"/>
        </w:rPr>
      </w:pPr>
      <w:bookmarkStart w:id="6" w:name="iv_the_financial_exposure_to_bris_5fe563"/>
      <w:r w:rsidRPr="009E08D4">
        <w:rPr>
          <w:rFonts w:ascii="Century Schoolbook" w:eastAsia="Georgia" w:hAnsi="Century Schoolbook" w:cs="Georgia"/>
          <w:b/>
          <w:color w:val="000000"/>
          <w:sz w:val="28"/>
          <w:szCs w:val="28"/>
        </w:rPr>
        <w:t>IV. The Financial Exposure to Bristol Borough Is Real and Quantifiable</w:t>
      </w:r>
      <w:bookmarkEnd w:id="6"/>
    </w:p>
    <w:p w14:paraId="327902AC" w14:textId="77777777" w:rsidR="00E950E7" w:rsidRPr="009E08D4" w:rsidRDefault="00F347E4">
      <w:pPr>
        <w:spacing w:after="210"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This is not abstract. If Officer Webb files suit — and based on his correspondence, the only question is timing — the Borough faces:</w:t>
      </w:r>
    </w:p>
    <w:p w14:paraId="327902AD" w14:textId="77777777" w:rsidR="00E950E7" w:rsidRPr="009E08D4" w:rsidRDefault="00F347E4">
      <w:pPr>
        <w:numPr>
          <w:ilvl w:val="0"/>
          <w:numId w:val="3"/>
        </w:numPr>
        <w:spacing w:before="105" w:after="105"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t>Compensatory damages</w:t>
      </w:r>
      <w:r w:rsidRPr="009E08D4">
        <w:rPr>
          <w:rFonts w:ascii="Century Schoolbook" w:eastAsia="Georgia" w:hAnsi="Century Schoolbook" w:cs="Georgia"/>
          <w:color w:val="000000"/>
          <w:sz w:val="28"/>
          <w:szCs w:val="28"/>
        </w:rPr>
        <w:t xml:space="preserve"> for lost wages, benefits, and emotional distress if retaliation is </w:t>
      </w:r>
      <w:proofErr w:type="gramStart"/>
      <w:r w:rsidRPr="009E08D4">
        <w:rPr>
          <w:rFonts w:ascii="Century Schoolbook" w:eastAsia="Georgia" w:hAnsi="Century Schoolbook" w:cs="Georgia"/>
          <w:color w:val="000000"/>
          <w:sz w:val="28"/>
          <w:szCs w:val="28"/>
        </w:rPr>
        <w:t>proven;</w:t>
      </w:r>
      <w:proofErr w:type="gramEnd"/>
    </w:p>
    <w:p w14:paraId="327902AE" w14:textId="77777777" w:rsidR="00E950E7" w:rsidRPr="009E08D4" w:rsidRDefault="00F347E4">
      <w:pPr>
        <w:numPr>
          <w:ilvl w:val="0"/>
          <w:numId w:val="3"/>
        </w:numPr>
        <w:spacing w:before="105" w:after="105"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t>Punitive damages</w:t>
      </w:r>
      <w:r w:rsidRPr="009E08D4">
        <w:rPr>
          <w:rFonts w:ascii="Century Schoolbook" w:eastAsia="Georgia" w:hAnsi="Century Schoolbook" w:cs="Georgia"/>
          <w:color w:val="000000"/>
          <w:sz w:val="28"/>
          <w:szCs w:val="28"/>
        </w:rPr>
        <w:t xml:space="preserve"> under § 1983 if a court finds the conduct was deliberately indifferent to his constitutional </w:t>
      </w:r>
      <w:proofErr w:type="gramStart"/>
      <w:r w:rsidRPr="009E08D4">
        <w:rPr>
          <w:rFonts w:ascii="Century Schoolbook" w:eastAsia="Georgia" w:hAnsi="Century Schoolbook" w:cs="Georgia"/>
          <w:color w:val="000000"/>
          <w:sz w:val="28"/>
          <w:szCs w:val="28"/>
        </w:rPr>
        <w:t>rights;</w:t>
      </w:r>
      <w:proofErr w:type="gramEnd"/>
    </w:p>
    <w:p w14:paraId="327902AF" w14:textId="77777777" w:rsidR="00E950E7" w:rsidRPr="009E08D4" w:rsidRDefault="00F347E4">
      <w:pPr>
        <w:numPr>
          <w:ilvl w:val="0"/>
          <w:numId w:val="3"/>
        </w:numPr>
        <w:spacing w:before="105" w:after="105"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t>Attorney's fees</w:t>
      </w:r>
      <w:r w:rsidRPr="009E08D4">
        <w:rPr>
          <w:rFonts w:ascii="Century Schoolbook" w:eastAsia="Georgia" w:hAnsi="Century Schoolbook" w:cs="Georgia"/>
          <w:color w:val="000000"/>
          <w:sz w:val="28"/>
          <w:szCs w:val="28"/>
        </w:rPr>
        <w:t xml:space="preserve"> under 42 U.S.C. § 1988, which in civil rights cases can dwarf the underlying </w:t>
      </w:r>
      <w:proofErr w:type="gramStart"/>
      <w:r w:rsidRPr="009E08D4">
        <w:rPr>
          <w:rFonts w:ascii="Century Schoolbook" w:eastAsia="Georgia" w:hAnsi="Century Schoolbook" w:cs="Georgia"/>
          <w:color w:val="000000"/>
          <w:sz w:val="28"/>
          <w:szCs w:val="28"/>
        </w:rPr>
        <w:t>verdict;</w:t>
      </w:r>
      <w:proofErr w:type="gramEnd"/>
    </w:p>
    <w:p w14:paraId="327902B0" w14:textId="77777777" w:rsidR="00E950E7" w:rsidRPr="009E08D4" w:rsidRDefault="00F347E4">
      <w:pPr>
        <w:numPr>
          <w:ilvl w:val="0"/>
          <w:numId w:val="3"/>
        </w:numPr>
        <w:spacing w:before="105" w:after="105"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t>Civil service reinstatement</w:t>
      </w:r>
      <w:r w:rsidRPr="009E08D4">
        <w:rPr>
          <w:rFonts w:ascii="Century Schoolbook" w:eastAsia="Georgia" w:hAnsi="Century Schoolbook" w:cs="Georgia"/>
          <w:color w:val="000000"/>
          <w:sz w:val="28"/>
          <w:szCs w:val="28"/>
        </w:rPr>
        <w:t xml:space="preserve"> with full back pay if the disciplinary process is found procedurally defective under the Borough Code and Civil Service Rules; and</w:t>
      </w:r>
    </w:p>
    <w:p w14:paraId="327902B1" w14:textId="77777777" w:rsidR="00E950E7" w:rsidRPr="009E08D4" w:rsidRDefault="00F347E4">
      <w:pPr>
        <w:numPr>
          <w:ilvl w:val="0"/>
          <w:numId w:val="3"/>
        </w:numPr>
        <w:spacing w:before="105" w:after="105"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t>Defense costs</w:t>
      </w:r>
      <w:r w:rsidRPr="009E08D4">
        <w:rPr>
          <w:rFonts w:ascii="Century Schoolbook" w:eastAsia="Georgia" w:hAnsi="Century Schoolbook" w:cs="Georgia"/>
          <w:color w:val="000000"/>
          <w:sz w:val="28"/>
          <w:szCs w:val="28"/>
        </w:rPr>
        <w:t xml:space="preserve"> for the Borough — paid by the taxpayers — across what could be years of federal litigation.</w:t>
      </w:r>
    </w:p>
    <w:p w14:paraId="327902B2" w14:textId="77777777" w:rsidR="00E950E7" w:rsidRPr="009E08D4" w:rsidRDefault="00F347E4">
      <w:pPr>
        <w:spacing w:after="210"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 xml:space="preserve">Council's March 23, </w:t>
      </w:r>
      <w:proofErr w:type="gramStart"/>
      <w:r w:rsidRPr="009E08D4">
        <w:rPr>
          <w:rFonts w:ascii="Century Schoolbook" w:eastAsia="Georgia" w:hAnsi="Century Schoolbook" w:cs="Georgia"/>
          <w:color w:val="000000"/>
          <w:sz w:val="28"/>
          <w:szCs w:val="28"/>
        </w:rPr>
        <w:t>2026</w:t>
      </w:r>
      <w:proofErr w:type="gramEnd"/>
      <w:r w:rsidRPr="009E08D4">
        <w:rPr>
          <w:rFonts w:ascii="Century Schoolbook" w:eastAsia="Georgia" w:hAnsi="Century Schoolbook" w:cs="Georgia"/>
          <w:color w:val="000000"/>
          <w:sz w:val="28"/>
          <w:szCs w:val="28"/>
        </w:rPr>
        <w:t xml:space="preserve"> letter to the Mayor raised the prospect of voiding insurance coverage for the Mayor. Council should focus instead on whether </w:t>
      </w:r>
      <w:r w:rsidRPr="009E08D4">
        <w:rPr>
          <w:rFonts w:ascii="Century Schoolbook" w:eastAsia="Georgia" w:hAnsi="Century Schoolbook" w:cs="Georgia"/>
          <w:i/>
          <w:color w:val="000000"/>
          <w:sz w:val="28"/>
          <w:szCs w:val="28"/>
        </w:rPr>
        <w:t>its own conduct</w:t>
      </w:r>
      <w:r w:rsidRPr="009E08D4">
        <w:rPr>
          <w:rFonts w:ascii="Century Schoolbook" w:eastAsia="Georgia" w:hAnsi="Century Schoolbook" w:cs="Georgia"/>
          <w:color w:val="000000"/>
          <w:sz w:val="28"/>
          <w:szCs w:val="28"/>
        </w:rPr>
        <w:t xml:space="preserve"> in this investigation will be covered — because an investigation found to be structurally retaliatory, built on a conflict of interest, and directed at a protected whistleblower is exactly the kind of conduct that insurance carriers move to disclaim.</w:t>
      </w:r>
    </w:p>
    <w:p w14:paraId="327902B4" w14:textId="0BC9B2E3" w:rsidR="00E950E7" w:rsidRPr="009E08D4" w:rsidRDefault="00F347E4" w:rsidP="009E08D4">
      <w:pPr>
        <w:spacing w:after="210" w:line="360" w:lineRule="auto"/>
        <w:ind w:left="630"/>
        <w:rPr>
          <w:rFonts w:ascii="Century Schoolbook" w:hAnsi="Century Schoolbook"/>
          <w:sz w:val="28"/>
          <w:szCs w:val="28"/>
        </w:rPr>
      </w:pPr>
      <w:r w:rsidRPr="009E08D4">
        <w:rPr>
          <w:rFonts w:ascii="Century Schoolbook" w:eastAsia="Georgia" w:hAnsi="Century Schoolbook" w:cs="Georgia"/>
          <w:b/>
          <w:color w:val="000000"/>
          <w:sz w:val="28"/>
          <w:szCs w:val="28"/>
          <w:highlight w:val="yellow"/>
        </w:rPr>
        <w:lastRenderedPageBreak/>
        <w:t>[NEEDS CONFIRMATION]:</w:t>
      </w:r>
      <w:r w:rsidRPr="009E08D4">
        <w:rPr>
          <w:rFonts w:ascii="Century Schoolbook" w:eastAsia="Georgia" w:hAnsi="Century Schoolbook" w:cs="Georgia"/>
          <w:color w:val="000000"/>
          <w:sz w:val="28"/>
          <w:szCs w:val="28"/>
          <w:highlight w:val="yellow"/>
        </w:rPr>
        <w:t xml:space="preserve"> Confirm whether the Borough's insurance carrier has been formally notified of Officer Webb's claims and whether a reservation of rights letter has been issued. The Borough's defense posture depends on this.</w:t>
      </w:r>
    </w:p>
    <w:p w14:paraId="327902B5" w14:textId="77777777" w:rsidR="00E950E7" w:rsidRPr="009E08D4" w:rsidRDefault="00F347E4">
      <w:pPr>
        <w:spacing w:before="315" w:after="105" w:line="360" w:lineRule="auto"/>
        <w:ind w:left="-30"/>
        <w:rPr>
          <w:rFonts w:ascii="Century Schoolbook" w:hAnsi="Century Schoolbook"/>
          <w:sz w:val="28"/>
          <w:szCs w:val="28"/>
        </w:rPr>
      </w:pPr>
      <w:bookmarkStart w:id="7" w:name="v_proceeding_while_a_criminal_inv_fafc87"/>
      <w:r w:rsidRPr="009E08D4">
        <w:rPr>
          <w:rFonts w:ascii="Century Schoolbook" w:eastAsia="Georgia" w:hAnsi="Century Schoolbook" w:cs="Georgia"/>
          <w:b/>
          <w:color w:val="000000"/>
          <w:sz w:val="28"/>
          <w:szCs w:val="28"/>
        </w:rPr>
        <w:t>V. Proceeding While a Criminal Investigation Is Pending Compounds the Risk</w:t>
      </w:r>
      <w:bookmarkEnd w:id="7"/>
    </w:p>
    <w:p w14:paraId="327902B6" w14:textId="77777777" w:rsidR="00E950E7" w:rsidRPr="009E08D4" w:rsidRDefault="00F347E4">
      <w:pPr>
        <w:spacing w:after="210"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 xml:space="preserve">Council's own correspondence acknowledged that Officer Webb's February 7, </w:t>
      </w:r>
      <w:proofErr w:type="gramStart"/>
      <w:r w:rsidRPr="009E08D4">
        <w:rPr>
          <w:rFonts w:ascii="Century Schoolbook" w:eastAsia="Georgia" w:hAnsi="Century Schoolbook" w:cs="Georgia"/>
          <w:color w:val="000000"/>
          <w:sz w:val="28"/>
          <w:szCs w:val="28"/>
        </w:rPr>
        <w:t>2026</w:t>
      </w:r>
      <w:proofErr w:type="gramEnd"/>
      <w:r w:rsidRPr="009E08D4">
        <w:rPr>
          <w:rFonts w:ascii="Century Schoolbook" w:eastAsia="Georgia" w:hAnsi="Century Schoolbook" w:cs="Georgia"/>
          <w:color w:val="000000"/>
          <w:sz w:val="28"/>
          <w:szCs w:val="28"/>
        </w:rPr>
        <w:t xml:space="preserve"> complaint contained allegations of criminal conduct that were referred to the Bucks County District Attorney's Office. Despite that referral, Council has pressed forward with a parallel internal investigation through outside labor counsel.</w:t>
      </w:r>
    </w:p>
    <w:p w14:paraId="327902B7" w14:textId="77777777" w:rsidR="00E950E7" w:rsidRPr="009E08D4" w:rsidRDefault="00F347E4">
      <w:pPr>
        <w:spacing w:after="210"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Conducting an internal investigation that overlaps with an active or pending criminal investigation is legally and practically dangerous. It can:</w:t>
      </w:r>
    </w:p>
    <w:p w14:paraId="327902B8" w14:textId="77777777" w:rsidR="00E950E7" w:rsidRPr="009E08D4" w:rsidRDefault="00F347E4">
      <w:pPr>
        <w:numPr>
          <w:ilvl w:val="0"/>
          <w:numId w:val="4"/>
        </w:numPr>
        <w:spacing w:before="105" w:after="105"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t>Contaminate witness testimony</w:t>
      </w:r>
      <w:r w:rsidRPr="009E08D4">
        <w:rPr>
          <w:rFonts w:ascii="Century Schoolbook" w:eastAsia="Georgia" w:hAnsi="Century Schoolbook" w:cs="Georgia"/>
          <w:color w:val="000000"/>
          <w:sz w:val="28"/>
          <w:szCs w:val="28"/>
        </w:rPr>
        <w:t xml:space="preserve"> and compromise potential criminal </w:t>
      </w:r>
      <w:proofErr w:type="gramStart"/>
      <w:r w:rsidRPr="009E08D4">
        <w:rPr>
          <w:rFonts w:ascii="Century Schoolbook" w:eastAsia="Georgia" w:hAnsi="Century Schoolbook" w:cs="Georgia"/>
          <w:color w:val="000000"/>
          <w:sz w:val="28"/>
          <w:szCs w:val="28"/>
        </w:rPr>
        <w:t>prosecutions;</w:t>
      </w:r>
      <w:proofErr w:type="gramEnd"/>
    </w:p>
    <w:p w14:paraId="327902B9" w14:textId="77777777" w:rsidR="00E950E7" w:rsidRPr="009E08D4" w:rsidRDefault="00F347E4">
      <w:pPr>
        <w:numPr>
          <w:ilvl w:val="0"/>
          <w:numId w:val="4"/>
        </w:numPr>
        <w:spacing w:before="105" w:after="105"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t>Create Fifth Amendment complications</w:t>
      </w:r>
      <w:r w:rsidRPr="009E08D4">
        <w:rPr>
          <w:rFonts w:ascii="Century Schoolbook" w:eastAsia="Georgia" w:hAnsi="Century Schoolbook" w:cs="Georgia"/>
          <w:color w:val="000000"/>
          <w:sz w:val="28"/>
          <w:szCs w:val="28"/>
        </w:rPr>
        <w:t xml:space="preserve"> for Officer Webb and others compelled to participate in internal proceedings while criminal exposure remains open; and</w:t>
      </w:r>
    </w:p>
    <w:p w14:paraId="327902BA" w14:textId="77777777" w:rsidR="00E950E7" w:rsidRPr="009E08D4" w:rsidRDefault="00F347E4">
      <w:pPr>
        <w:numPr>
          <w:ilvl w:val="0"/>
          <w:numId w:val="4"/>
        </w:numPr>
        <w:spacing w:before="105" w:after="105"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t>Undermine the integrity of any eventual discipline</w:t>
      </w:r>
      <w:r w:rsidRPr="009E08D4">
        <w:rPr>
          <w:rFonts w:ascii="Century Schoolbook" w:eastAsia="Georgia" w:hAnsi="Century Schoolbook" w:cs="Georgia"/>
          <w:color w:val="000000"/>
          <w:sz w:val="28"/>
          <w:szCs w:val="28"/>
        </w:rPr>
        <w:t xml:space="preserve"> by tainting the evidentiary record used in subsequent civil service proceedings.</w:t>
      </w:r>
    </w:p>
    <w:p w14:paraId="327902BC" w14:textId="197249B2" w:rsidR="00E950E7" w:rsidRPr="009E08D4" w:rsidRDefault="00F347E4" w:rsidP="009E08D4">
      <w:pPr>
        <w:spacing w:after="210" w:line="360" w:lineRule="auto"/>
        <w:ind w:left="630"/>
        <w:rPr>
          <w:rFonts w:ascii="Century Schoolbook" w:hAnsi="Century Schoolbook"/>
          <w:sz w:val="28"/>
          <w:szCs w:val="28"/>
        </w:rPr>
      </w:pPr>
      <w:r w:rsidRPr="009E08D4">
        <w:rPr>
          <w:rFonts w:ascii="Century Schoolbook" w:eastAsia="Georgia" w:hAnsi="Century Schoolbook" w:cs="Georgia"/>
          <w:b/>
          <w:color w:val="000000"/>
          <w:sz w:val="28"/>
          <w:szCs w:val="28"/>
          <w:highlight w:val="yellow"/>
        </w:rPr>
        <w:t>[NEEDS CONFIRMATION]:</w:t>
      </w:r>
      <w:r w:rsidRPr="009E08D4">
        <w:rPr>
          <w:rFonts w:ascii="Century Schoolbook" w:eastAsia="Georgia" w:hAnsi="Century Schoolbook" w:cs="Georgia"/>
          <w:color w:val="000000"/>
          <w:sz w:val="28"/>
          <w:szCs w:val="28"/>
          <w:highlight w:val="yellow"/>
        </w:rPr>
        <w:t xml:space="preserve"> Confirm the current status of the Bucks County District Attorney's investigation — active, dormant, </w:t>
      </w:r>
      <w:r w:rsidRPr="009E08D4">
        <w:rPr>
          <w:rFonts w:ascii="Century Schoolbook" w:eastAsia="Georgia" w:hAnsi="Century Schoolbook" w:cs="Georgia"/>
          <w:color w:val="000000"/>
          <w:sz w:val="28"/>
          <w:szCs w:val="28"/>
          <w:highlight w:val="yellow"/>
        </w:rPr>
        <w:lastRenderedPageBreak/>
        <w:t>or concluded. This determination materially affects the Borough's exposure and the priority argument made in this section.</w:t>
      </w:r>
    </w:p>
    <w:p w14:paraId="327902BD" w14:textId="77777777" w:rsidR="00E950E7" w:rsidRPr="009E08D4" w:rsidRDefault="00F347E4">
      <w:pPr>
        <w:spacing w:before="315" w:after="105" w:line="360" w:lineRule="auto"/>
        <w:ind w:left="-30"/>
        <w:rPr>
          <w:rFonts w:ascii="Century Schoolbook" w:hAnsi="Century Schoolbook"/>
          <w:sz w:val="28"/>
          <w:szCs w:val="28"/>
        </w:rPr>
      </w:pPr>
      <w:bookmarkStart w:id="8" w:name="vi_what_i_am_asking_council_to_do"/>
      <w:r w:rsidRPr="009E08D4">
        <w:rPr>
          <w:rFonts w:ascii="Century Schoolbook" w:eastAsia="Georgia" w:hAnsi="Century Schoolbook" w:cs="Georgia"/>
          <w:b/>
          <w:color w:val="000000"/>
          <w:sz w:val="28"/>
          <w:szCs w:val="28"/>
        </w:rPr>
        <w:t>VI. What I Am Asking Council to Do</w:t>
      </w:r>
      <w:bookmarkEnd w:id="8"/>
    </w:p>
    <w:p w14:paraId="327902BE" w14:textId="77777777" w:rsidR="00E950E7" w:rsidRPr="009E08D4" w:rsidRDefault="00F347E4">
      <w:pPr>
        <w:spacing w:after="210"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Tabling this matter is not a defeat. It is the responsible exercise of the fiduciary obligation every Council member accepted when sworn into office. Specifically, I ask that Council:</w:t>
      </w:r>
    </w:p>
    <w:p w14:paraId="327902BF" w14:textId="77777777" w:rsidR="00E950E7" w:rsidRPr="009E08D4" w:rsidRDefault="00F347E4">
      <w:pPr>
        <w:numPr>
          <w:ilvl w:val="0"/>
          <w:numId w:val="5"/>
        </w:numPr>
        <w:spacing w:after="210"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t>Immediately suspend any Loudermill or disciplinary proceedings</w:t>
      </w:r>
      <w:r w:rsidRPr="009E08D4">
        <w:rPr>
          <w:rFonts w:ascii="Century Schoolbook" w:eastAsia="Georgia" w:hAnsi="Century Schoolbook" w:cs="Georgia"/>
          <w:color w:val="000000"/>
          <w:sz w:val="28"/>
          <w:szCs w:val="28"/>
        </w:rPr>
        <w:t xml:space="preserve"> pending resolution of Officer Webb's medical status through a fair, neutral, and properly structured IME </w:t>
      </w:r>
      <w:proofErr w:type="gramStart"/>
      <w:r w:rsidRPr="009E08D4">
        <w:rPr>
          <w:rFonts w:ascii="Century Schoolbook" w:eastAsia="Georgia" w:hAnsi="Century Schoolbook" w:cs="Georgia"/>
          <w:color w:val="000000"/>
          <w:sz w:val="28"/>
          <w:szCs w:val="28"/>
        </w:rPr>
        <w:t>process;</w:t>
      </w:r>
      <w:proofErr w:type="gramEnd"/>
    </w:p>
    <w:p w14:paraId="327902C0" w14:textId="77777777" w:rsidR="00E950E7" w:rsidRPr="009E08D4" w:rsidRDefault="00F347E4">
      <w:pPr>
        <w:numPr>
          <w:ilvl w:val="0"/>
          <w:numId w:val="5"/>
        </w:numPr>
        <w:spacing w:after="210"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t>Commission an independent legal review</w:t>
      </w:r>
      <w:r w:rsidRPr="009E08D4">
        <w:rPr>
          <w:rFonts w:ascii="Century Schoolbook" w:eastAsia="Georgia" w:hAnsi="Century Schoolbook" w:cs="Georgia"/>
          <w:color w:val="000000"/>
          <w:sz w:val="28"/>
          <w:szCs w:val="28"/>
        </w:rPr>
        <w:t xml:space="preserve"> — by counsel with no prior relationship to this matter — of whether the investigation as currently structured exposes the Borough to retaliation, ADA, and § 1983 </w:t>
      </w:r>
      <w:proofErr w:type="gramStart"/>
      <w:r w:rsidRPr="009E08D4">
        <w:rPr>
          <w:rFonts w:ascii="Century Schoolbook" w:eastAsia="Georgia" w:hAnsi="Century Schoolbook" w:cs="Georgia"/>
          <w:color w:val="000000"/>
          <w:sz w:val="28"/>
          <w:szCs w:val="28"/>
        </w:rPr>
        <w:t>liability;</w:t>
      </w:r>
      <w:proofErr w:type="gramEnd"/>
    </w:p>
    <w:p w14:paraId="327902C1" w14:textId="77777777" w:rsidR="00E950E7" w:rsidRPr="009E08D4" w:rsidRDefault="00F347E4">
      <w:pPr>
        <w:numPr>
          <w:ilvl w:val="0"/>
          <w:numId w:val="5"/>
        </w:numPr>
        <w:spacing w:after="210"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t>Allow the Bucks County District Attorney's investigation to run its course</w:t>
      </w:r>
      <w:r w:rsidRPr="009E08D4">
        <w:rPr>
          <w:rFonts w:ascii="Century Schoolbook" w:eastAsia="Georgia" w:hAnsi="Century Schoolbook" w:cs="Georgia"/>
          <w:color w:val="000000"/>
          <w:sz w:val="28"/>
          <w:szCs w:val="28"/>
        </w:rPr>
        <w:t xml:space="preserve"> before any overlapping internal proceedings are conducted on the same underlying conduct; and</w:t>
      </w:r>
    </w:p>
    <w:p w14:paraId="327902C2" w14:textId="77777777" w:rsidR="00E950E7" w:rsidRPr="009E08D4" w:rsidRDefault="00F347E4">
      <w:pPr>
        <w:numPr>
          <w:ilvl w:val="0"/>
          <w:numId w:val="5"/>
        </w:numPr>
        <w:spacing w:after="210"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t>Engage the Borough's insurance carrier now</w:t>
      </w:r>
      <w:r w:rsidRPr="009E08D4">
        <w:rPr>
          <w:rFonts w:ascii="Century Schoolbook" w:eastAsia="Georgia" w:hAnsi="Century Schoolbook" w:cs="Georgia"/>
          <w:color w:val="000000"/>
          <w:sz w:val="28"/>
          <w:szCs w:val="28"/>
        </w:rPr>
        <w:t xml:space="preserve"> to determine the scope of available coverage and identify any steps that, if taken, could jeopardize the Borough's defense.</w:t>
      </w:r>
    </w:p>
    <w:p w14:paraId="327902C3" w14:textId="40D860CF" w:rsidR="00E950E7" w:rsidRPr="009E08D4" w:rsidRDefault="00F347E4">
      <w:pPr>
        <w:spacing w:after="210" w:line="360" w:lineRule="auto"/>
        <w:rPr>
          <w:rFonts w:ascii="Century Schoolbook" w:hAnsi="Century Schoolbook"/>
          <w:sz w:val="28"/>
          <w:szCs w:val="28"/>
        </w:rPr>
      </w:pPr>
      <w:r w:rsidRPr="009E08D4">
        <w:rPr>
          <w:rFonts w:ascii="Century Schoolbook" w:eastAsia="Georgia" w:hAnsi="Century Schoolbook" w:cs="Georgia"/>
          <w:color w:val="000000"/>
          <w:sz w:val="28"/>
          <w:szCs w:val="28"/>
        </w:rPr>
        <w:t>The residents of Bristol Borough deserve accountability. They also deserve a government that does not</w:t>
      </w:r>
      <w:r w:rsidR="00785F5B">
        <w:rPr>
          <w:rFonts w:ascii="Century Schoolbook" w:eastAsia="Georgia" w:hAnsi="Century Schoolbook" w:cs="Georgia"/>
          <w:color w:val="000000"/>
          <w:sz w:val="28"/>
          <w:szCs w:val="28"/>
        </w:rPr>
        <w:t xml:space="preserve"> take actions that needlessly cost the </w:t>
      </w:r>
      <w:r w:rsidR="00785F5B">
        <w:rPr>
          <w:rFonts w:ascii="Century Schoolbook" w:eastAsia="Georgia" w:hAnsi="Century Schoolbook" w:cs="Georgia"/>
          <w:color w:val="000000"/>
          <w:sz w:val="28"/>
          <w:szCs w:val="28"/>
        </w:rPr>
        <w:lastRenderedPageBreak/>
        <w:t xml:space="preserve">taxpayers hundreds of thousands of dollars for violating the civil rights of </w:t>
      </w:r>
      <w:r>
        <w:rPr>
          <w:rFonts w:ascii="Century Schoolbook" w:eastAsia="Georgia" w:hAnsi="Century Schoolbook" w:cs="Georgia"/>
          <w:color w:val="000000"/>
          <w:sz w:val="28"/>
          <w:szCs w:val="28"/>
        </w:rPr>
        <w:t>law enforcement personnel</w:t>
      </w:r>
      <w:r w:rsidRPr="009E08D4">
        <w:rPr>
          <w:rFonts w:ascii="Century Schoolbook" w:eastAsia="Georgia" w:hAnsi="Century Schoolbook" w:cs="Georgia"/>
          <w:color w:val="000000"/>
          <w:sz w:val="28"/>
          <w:szCs w:val="28"/>
        </w:rPr>
        <w:t>. I urge Council to take this seriously.</w:t>
      </w:r>
    </w:p>
    <w:p w14:paraId="327902C4" w14:textId="77777777" w:rsidR="00E950E7" w:rsidRPr="009E08D4" w:rsidRDefault="00F347E4">
      <w:pPr>
        <w:spacing w:before="210" w:after="0" w:line="360" w:lineRule="auto"/>
        <w:rPr>
          <w:rFonts w:ascii="Century Schoolbook" w:hAnsi="Century Schoolbook"/>
          <w:sz w:val="28"/>
          <w:szCs w:val="28"/>
        </w:rPr>
      </w:pPr>
      <w:r w:rsidRPr="009E08D4">
        <w:rPr>
          <w:rFonts w:ascii="Century Schoolbook" w:hAnsi="Century Schoolbook"/>
          <w:noProof/>
          <w:sz w:val="28"/>
          <w:szCs w:val="28"/>
        </w:rPr>
      </w:r>
      <w:r w:rsidRPr="009E08D4">
        <w:rPr>
          <w:rFonts w:ascii="Century Schoolbook" w:hAnsi="Century Schoolbook"/>
          <w:noProof/>
          <w:sz w:val="28"/>
          <w:szCs w:val="28"/>
        </w:rPr>
        <w:pict w14:anchorId="327902D8">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327902C5" w14:textId="77777777" w:rsidR="00E950E7" w:rsidRPr="009E08D4" w:rsidRDefault="00F347E4">
      <w:pPr>
        <w:spacing w:after="210" w:line="360" w:lineRule="auto"/>
        <w:rPr>
          <w:rFonts w:ascii="Century Schoolbook" w:hAnsi="Century Schoolbook"/>
          <w:sz w:val="28"/>
          <w:szCs w:val="28"/>
        </w:rPr>
      </w:pPr>
      <w:r w:rsidRPr="009E08D4">
        <w:rPr>
          <w:rFonts w:ascii="Century Schoolbook" w:eastAsia="Georgia" w:hAnsi="Century Schoolbook" w:cs="Georgia"/>
          <w:i/>
          <w:color w:val="000000"/>
          <w:sz w:val="28"/>
          <w:szCs w:val="28"/>
        </w:rPr>
        <w:t>Respectfully submitted,</w:t>
      </w:r>
    </w:p>
    <w:p w14:paraId="327902C8" w14:textId="39EAAAFE" w:rsidR="00E950E7" w:rsidRPr="009E08D4" w:rsidRDefault="00F347E4" w:rsidP="00F347E4">
      <w:pPr>
        <w:spacing w:after="210" w:line="360" w:lineRule="auto"/>
        <w:rPr>
          <w:rFonts w:ascii="Century Schoolbook" w:hAnsi="Century Schoolbook"/>
          <w:sz w:val="28"/>
          <w:szCs w:val="28"/>
        </w:rPr>
      </w:pPr>
      <w:r w:rsidRPr="009E08D4">
        <w:rPr>
          <w:rFonts w:ascii="Century Schoolbook" w:eastAsia="Georgia" w:hAnsi="Century Schoolbook" w:cs="Georgia"/>
          <w:b/>
          <w:color w:val="000000"/>
          <w:sz w:val="28"/>
          <w:szCs w:val="28"/>
        </w:rPr>
        <w:t>Mayor Frank W. Peranteau, Sr.</w:t>
      </w:r>
      <w:r w:rsidRPr="009E08D4">
        <w:rPr>
          <w:rFonts w:ascii="Century Schoolbook" w:eastAsia="Georgia" w:hAnsi="Century Schoolbook" w:cs="Georgia"/>
          <w:color w:val="000000"/>
          <w:sz w:val="28"/>
          <w:szCs w:val="28"/>
        </w:rPr>
        <w:br/>
        <w:t>Bristol Borough</w:t>
      </w:r>
      <w:r w:rsidRPr="009E08D4">
        <w:rPr>
          <w:rFonts w:ascii="Century Schoolbook" w:eastAsia="Georgia" w:hAnsi="Century Schoolbook" w:cs="Georgia"/>
          <w:color w:val="000000"/>
          <w:sz w:val="28"/>
          <w:szCs w:val="28"/>
        </w:rPr>
        <w:br/>
        <w:t>May 2026</w:t>
      </w:r>
    </w:p>
    <w:sectPr w:rsidR="00E950E7" w:rsidRPr="009E08D4">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75E"/>
    <w:multiLevelType w:val="hybridMultilevel"/>
    <w:tmpl w:val="85D48F84"/>
    <w:lvl w:ilvl="0" w:tplc="4ECC4212">
      <w:start w:val="1"/>
      <w:numFmt w:val="decimal"/>
      <w:lvlText w:val="%1."/>
      <w:lvlJc w:val="left"/>
      <w:pPr>
        <w:tabs>
          <w:tab w:val="num" w:pos="900"/>
        </w:tabs>
        <w:ind w:left="540" w:hanging="360"/>
      </w:pPr>
    </w:lvl>
    <w:lvl w:ilvl="1" w:tplc="22F4582C">
      <w:numFmt w:val="decimal"/>
      <w:lvlText w:val=""/>
      <w:lvlJc w:val="left"/>
    </w:lvl>
    <w:lvl w:ilvl="2" w:tplc="10B095D2">
      <w:numFmt w:val="decimal"/>
      <w:lvlText w:val=""/>
      <w:lvlJc w:val="left"/>
    </w:lvl>
    <w:lvl w:ilvl="3" w:tplc="09986800">
      <w:numFmt w:val="decimal"/>
      <w:lvlText w:val=""/>
      <w:lvlJc w:val="left"/>
    </w:lvl>
    <w:lvl w:ilvl="4" w:tplc="2C24A892">
      <w:numFmt w:val="decimal"/>
      <w:lvlText w:val=""/>
      <w:lvlJc w:val="left"/>
    </w:lvl>
    <w:lvl w:ilvl="5" w:tplc="79C05B04">
      <w:numFmt w:val="decimal"/>
      <w:lvlText w:val=""/>
      <w:lvlJc w:val="left"/>
    </w:lvl>
    <w:lvl w:ilvl="6" w:tplc="3550AC9C">
      <w:numFmt w:val="decimal"/>
      <w:lvlText w:val=""/>
      <w:lvlJc w:val="left"/>
    </w:lvl>
    <w:lvl w:ilvl="7" w:tplc="58F8AC02">
      <w:numFmt w:val="decimal"/>
      <w:lvlText w:val=""/>
      <w:lvlJc w:val="left"/>
    </w:lvl>
    <w:lvl w:ilvl="8" w:tplc="57C6DDA0">
      <w:numFmt w:val="decimal"/>
      <w:lvlText w:val=""/>
      <w:lvlJc w:val="left"/>
    </w:lvl>
  </w:abstractNum>
  <w:abstractNum w:abstractNumId="1" w15:restartNumberingAfterBreak="0">
    <w:nsid w:val="16130F1B"/>
    <w:multiLevelType w:val="hybridMultilevel"/>
    <w:tmpl w:val="5E0C832E"/>
    <w:lvl w:ilvl="0" w:tplc="F546118E">
      <w:start w:val="1"/>
      <w:numFmt w:val="bullet"/>
      <w:lvlText w:val=""/>
      <w:lvlJc w:val="left"/>
      <w:pPr>
        <w:tabs>
          <w:tab w:val="num" w:pos="900"/>
        </w:tabs>
        <w:ind w:left="540" w:hanging="360"/>
      </w:pPr>
      <w:rPr>
        <w:rFonts w:ascii="Symbol" w:hAnsi="Symbol" w:hint="default"/>
      </w:rPr>
    </w:lvl>
    <w:lvl w:ilvl="1" w:tplc="FB48A244">
      <w:numFmt w:val="decimal"/>
      <w:lvlText w:val=""/>
      <w:lvlJc w:val="left"/>
    </w:lvl>
    <w:lvl w:ilvl="2" w:tplc="7348FEF0">
      <w:numFmt w:val="decimal"/>
      <w:lvlText w:val=""/>
      <w:lvlJc w:val="left"/>
    </w:lvl>
    <w:lvl w:ilvl="3" w:tplc="CFB03B64">
      <w:numFmt w:val="decimal"/>
      <w:lvlText w:val=""/>
      <w:lvlJc w:val="left"/>
    </w:lvl>
    <w:lvl w:ilvl="4" w:tplc="E9DAED1A">
      <w:numFmt w:val="decimal"/>
      <w:lvlText w:val=""/>
      <w:lvlJc w:val="left"/>
    </w:lvl>
    <w:lvl w:ilvl="5" w:tplc="B6DA3D66">
      <w:numFmt w:val="decimal"/>
      <w:lvlText w:val=""/>
      <w:lvlJc w:val="left"/>
    </w:lvl>
    <w:lvl w:ilvl="6" w:tplc="C240C140">
      <w:numFmt w:val="decimal"/>
      <w:lvlText w:val=""/>
      <w:lvlJc w:val="left"/>
    </w:lvl>
    <w:lvl w:ilvl="7" w:tplc="44340C30">
      <w:numFmt w:val="decimal"/>
      <w:lvlText w:val=""/>
      <w:lvlJc w:val="left"/>
    </w:lvl>
    <w:lvl w:ilvl="8" w:tplc="0512D108">
      <w:numFmt w:val="decimal"/>
      <w:lvlText w:val=""/>
      <w:lvlJc w:val="left"/>
    </w:lvl>
  </w:abstractNum>
  <w:abstractNum w:abstractNumId="2" w15:restartNumberingAfterBreak="0">
    <w:nsid w:val="176353D3"/>
    <w:multiLevelType w:val="hybridMultilevel"/>
    <w:tmpl w:val="2D907CCC"/>
    <w:lvl w:ilvl="0" w:tplc="116EE884">
      <w:start w:val="1"/>
      <w:numFmt w:val="bullet"/>
      <w:lvlText w:val=""/>
      <w:lvlJc w:val="left"/>
      <w:pPr>
        <w:tabs>
          <w:tab w:val="num" w:pos="900"/>
        </w:tabs>
        <w:ind w:left="540" w:hanging="360"/>
      </w:pPr>
      <w:rPr>
        <w:rFonts w:ascii="Symbol" w:hAnsi="Symbol" w:hint="default"/>
      </w:rPr>
    </w:lvl>
    <w:lvl w:ilvl="1" w:tplc="9C6C5B6A">
      <w:numFmt w:val="decimal"/>
      <w:lvlText w:val=""/>
      <w:lvlJc w:val="left"/>
    </w:lvl>
    <w:lvl w:ilvl="2" w:tplc="499C3F18">
      <w:numFmt w:val="decimal"/>
      <w:lvlText w:val=""/>
      <w:lvlJc w:val="left"/>
    </w:lvl>
    <w:lvl w:ilvl="3" w:tplc="D166B350">
      <w:numFmt w:val="decimal"/>
      <w:lvlText w:val=""/>
      <w:lvlJc w:val="left"/>
    </w:lvl>
    <w:lvl w:ilvl="4" w:tplc="A6A4559C">
      <w:numFmt w:val="decimal"/>
      <w:lvlText w:val=""/>
      <w:lvlJc w:val="left"/>
    </w:lvl>
    <w:lvl w:ilvl="5" w:tplc="9670B31C">
      <w:numFmt w:val="decimal"/>
      <w:lvlText w:val=""/>
      <w:lvlJc w:val="left"/>
    </w:lvl>
    <w:lvl w:ilvl="6" w:tplc="CDF49700">
      <w:numFmt w:val="decimal"/>
      <w:lvlText w:val=""/>
      <w:lvlJc w:val="left"/>
    </w:lvl>
    <w:lvl w:ilvl="7" w:tplc="7F648E34">
      <w:numFmt w:val="decimal"/>
      <w:lvlText w:val=""/>
      <w:lvlJc w:val="left"/>
    </w:lvl>
    <w:lvl w:ilvl="8" w:tplc="FD6241E4">
      <w:numFmt w:val="decimal"/>
      <w:lvlText w:val=""/>
      <w:lvlJc w:val="left"/>
    </w:lvl>
  </w:abstractNum>
  <w:abstractNum w:abstractNumId="3" w15:restartNumberingAfterBreak="0">
    <w:nsid w:val="32DD0A38"/>
    <w:multiLevelType w:val="hybridMultilevel"/>
    <w:tmpl w:val="5B7CF6E8"/>
    <w:lvl w:ilvl="0" w:tplc="AC5CC52A">
      <w:start w:val="1"/>
      <w:numFmt w:val="bullet"/>
      <w:lvlText w:val=""/>
      <w:lvlJc w:val="left"/>
      <w:pPr>
        <w:tabs>
          <w:tab w:val="num" w:pos="900"/>
        </w:tabs>
        <w:ind w:left="540" w:hanging="360"/>
      </w:pPr>
      <w:rPr>
        <w:rFonts w:ascii="Symbol" w:hAnsi="Symbol" w:hint="default"/>
      </w:rPr>
    </w:lvl>
    <w:lvl w:ilvl="1" w:tplc="5DC2594A">
      <w:numFmt w:val="decimal"/>
      <w:lvlText w:val=""/>
      <w:lvlJc w:val="left"/>
    </w:lvl>
    <w:lvl w:ilvl="2" w:tplc="053E759A">
      <w:numFmt w:val="decimal"/>
      <w:lvlText w:val=""/>
      <w:lvlJc w:val="left"/>
    </w:lvl>
    <w:lvl w:ilvl="3" w:tplc="FD8681F2">
      <w:numFmt w:val="decimal"/>
      <w:lvlText w:val=""/>
      <w:lvlJc w:val="left"/>
    </w:lvl>
    <w:lvl w:ilvl="4" w:tplc="89ECA652">
      <w:numFmt w:val="decimal"/>
      <w:lvlText w:val=""/>
      <w:lvlJc w:val="left"/>
    </w:lvl>
    <w:lvl w:ilvl="5" w:tplc="306AB6A2">
      <w:numFmt w:val="decimal"/>
      <w:lvlText w:val=""/>
      <w:lvlJc w:val="left"/>
    </w:lvl>
    <w:lvl w:ilvl="6" w:tplc="D85CFF26">
      <w:numFmt w:val="decimal"/>
      <w:lvlText w:val=""/>
      <w:lvlJc w:val="left"/>
    </w:lvl>
    <w:lvl w:ilvl="7" w:tplc="104A4036">
      <w:numFmt w:val="decimal"/>
      <w:lvlText w:val=""/>
      <w:lvlJc w:val="left"/>
    </w:lvl>
    <w:lvl w:ilvl="8" w:tplc="D2F6AD6C">
      <w:numFmt w:val="decimal"/>
      <w:lvlText w:val=""/>
      <w:lvlJc w:val="left"/>
    </w:lvl>
  </w:abstractNum>
  <w:abstractNum w:abstractNumId="4" w15:restartNumberingAfterBreak="0">
    <w:nsid w:val="6762652B"/>
    <w:multiLevelType w:val="hybridMultilevel"/>
    <w:tmpl w:val="B9604DF2"/>
    <w:lvl w:ilvl="0" w:tplc="B86C89E8">
      <w:start w:val="1"/>
      <w:numFmt w:val="bullet"/>
      <w:lvlText w:val=""/>
      <w:lvlJc w:val="left"/>
      <w:pPr>
        <w:tabs>
          <w:tab w:val="num" w:pos="900"/>
        </w:tabs>
        <w:ind w:left="540" w:hanging="360"/>
      </w:pPr>
      <w:rPr>
        <w:rFonts w:ascii="Symbol" w:hAnsi="Symbol" w:hint="default"/>
      </w:rPr>
    </w:lvl>
    <w:lvl w:ilvl="1" w:tplc="34367EC8">
      <w:numFmt w:val="decimal"/>
      <w:lvlText w:val=""/>
      <w:lvlJc w:val="left"/>
    </w:lvl>
    <w:lvl w:ilvl="2" w:tplc="658C36F2">
      <w:numFmt w:val="decimal"/>
      <w:lvlText w:val=""/>
      <w:lvlJc w:val="left"/>
    </w:lvl>
    <w:lvl w:ilvl="3" w:tplc="354C06FC">
      <w:numFmt w:val="decimal"/>
      <w:lvlText w:val=""/>
      <w:lvlJc w:val="left"/>
    </w:lvl>
    <w:lvl w:ilvl="4" w:tplc="37DEB1C6">
      <w:numFmt w:val="decimal"/>
      <w:lvlText w:val=""/>
      <w:lvlJc w:val="left"/>
    </w:lvl>
    <w:lvl w:ilvl="5" w:tplc="9FE6AA54">
      <w:numFmt w:val="decimal"/>
      <w:lvlText w:val=""/>
      <w:lvlJc w:val="left"/>
    </w:lvl>
    <w:lvl w:ilvl="6" w:tplc="DA44DB0E">
      <w:numFmt w:val="decimal"/>
      <w:lvlText w:val=""/>
      <w:lvlJc w:val="left"/>
    </w:lvl>
    <w:lvl w:ilvl="7" w:tplc="391440EA">
      <w:numFmt w:val="decimal"/>
      <w:lvlText w:val=""/>
      <w:lvlJc w:val="left"/>
    </w:lvl>
    <w:lvl w:ilvl="8" w:tplc="CEF6566E">
      <w:numFmt w:val="decimal"/>
      <w:lvlText w:val=""/>
      <w:lvlJc w:val="left"/>
    </w:lvl>
  </w:abstractNum>
  <w:num w:numId="1" w16cid:durableId="27797715">
    <w:abstractNumId w:val="4"/>
  </w:num>
  <w:num w:numId="2" w16cid:durableId="1997105340">
    <w:abstractNumId w:val="2"/>
  </w:num>
  <w:num w:numId="3" w16cid:durableId="1160195240">
    <w:abstractNumId w:val="1"/>
  </w:num>
  <w:num w:numId="4" w16cid:durableId="685250086">
    <w:abstractNumId w:val="3"/>
  </w:num>
  <w:num w:numId="5" w16cid:durableId="37993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0E7"/>
    <w:rsid w:val="00363AD0"/>
    <w:rsid w:val="00785F5B"/>
    <w:rsid w:val="009E08D4"/>
    <w:rsid w:val="00E950E7"/>
    <w:rsid w:val="00F3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279028A"/>
  <w15:docId w15:val="{DDCD76AE-D838-4156-BE4C-981C20C7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1355</Words>
  <Characters>7770</Characters>
  <Application>Microsoft Office Word</Application>
  <DocSecurity>0</DocSecurity>
  <Lines>133</Lines>
  <Paragraphs>62</Paragraphs>
  <ScaleCrop>false</ScaleCrop>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Shohin Vance</cp:lastModifiedBy>
  <cp:revision>4</cp:revision>
  <dcterms:created xsi:type="dcterms:W3CDTF">2026-05-11T20:27:00Z</dcterms:created>
  <dcterms:modified xsi:type="dcterms:W3CDTF">2026-05-11T20:32:00Z</dcterms:modified>
</cp:coreProperties>
</file>